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5B251C99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76D9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5228F982" w14:textId="38A90BD8" w:rsidR="008B3F94" w:rsidRPr="00B16F40" w:rsidRDefault="00F8455F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  <w:highlight w:val="yellow"/>
        </w:rPr>
      </w:pPr>
      <w:r w:rsidRPr="000A6053">
        <w:rPr>
          <w:rFonts w:ascii="Arial" w:hAnsi="Arial" w:cs="Arial"/>
          <w:caps/>
          <w:sz w:val="36"/>
          <w:szCs w:val="36"/>
        </w:rPr>
        <w:t>114</w:t>
      </w:r>
      <w:r w:rsidR="008B3F94" w:rsidRPr="000A6053">
        <w:rPr>
          <w:rFonts w:ascii="Arial" w:hAnsi="Arial" w:cs="Arial"/>
          <w:caps/>
          <w:sz w:val="36"/>
          <w:szCs w:val="36"/>
        </w:rPr>
        <w:t>.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výzva IROP </w:t>
      </w:r>
      <w:r w:rsidR="008B3F94" w:rsidRPr="000A1CC4">
        <w:rPr>
          <w:rFonts w:ascii="Arial" w:eastAsia="SimSun" w:hAnsi="Arial" w:cs="Arial"/>
          <w:sz w:val="36"/>
          <w:szCs w:val="36"/>
          <w:lang w:eastAsia="zh-CN"/>
        </w:rPr>
        <w:t>–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proofErr w:type="gramStart"/>
      <w:r w:rsidR="008B3F94">
        <w:rPr>
          <w:rFonts w:ascii="Arial" w:hAnsi="Arial" w:cs="Arial"/>
          <w:caps/>
          <w:sz w:val="36"/>
          <w:szCs w:val="36"/>
        </w:rPr>
        <w:t>KULTURA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434DBD">
        <w:rPr>
          <w:rFonts w:ascii="Arial" w:hAnsi="Arial" w:cs="Arial"/>
          <w:caps/>
          <w:sz w:val="36"/>
          <w:szCs w:val="36"/>
        </w:rPr>
        <w:t>-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8B3F94">
        <w:rPr>
          <w:rFonts w:ascii="Arial" w:hAnsi="Arial" w:cs="Arial"/>
          <w:caps/>
          <w:sz w:val="36"/>
          <w:szCs w:val="36"/>
        </w:rPr>
        <w:t>KNIHOVN</w:t>
      </w:r>
      <w:r w:rsidR="00434DBD">
        <w:rPr>
          <w:rFonts w:ascii="Arial" w:hAnsi="Arial" w:cs="Arial"/>
          <w:caps/>
          <w:sz w:val="36"/>
          <w:szCs w:val="36"/>
        </w:rPr>
        <w:t>Y</w:t>
      </w:r>
      <w:proofErr w:type="gramEnd"/>
      <w:r w:rsidR="008B3F94">
        <w:rPr>
          <w:rFonts w:ascii="Arial" w:hAnsi="Arial" w:cs="Arial"/>
          <w:caps/>
          <w:sz w:val="36"/>
          <w:szCs w:val="36"/>
        </w:rPr>
        <w:t xml:space="preserve"> – SC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8B3F94">
        <w:rPr>
          <w:rFonts w:ascii="Arial" w:hAnsi="Arial" w:cs="Arial"/>
          <w:caps/>
          <w:sz w:val="36"/>
          <w:szCs w:val="36"/>
        </w:rPr>
        <w:t>5.1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(</w:t>
      </w:r>
      <w:r w:rsidR="008B3F94">
        <w:rPr>
          <w:rFonts w:ascii="Arial" w:hAnsi="Arial" w:cs="Arial"/>
          <w:caps/>
          <w:sz w:val="36"/>
          <w:szCs w:val="36"/>
        </w:rPr>
        <w:t>CLLD</w:t>
      </w:r>
      <w:r w:rsidR="008B3F94" w:rsidRPr="005B4410">
        <w:rPr>
          <w:rFonts w:ascii="Arial" w:hAnsi="Arial" w:cs="Arial"/>
          <w:caps/>
          <w:sz w:val="36"/>
          <w:szCs w:val="36"/>
        </w:rPr>
        <w:t>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84410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844107" w:rsidP="00E27DFB">
          <w:pPr>
            <w:pStyle w:val="Obsah1"/>
            <w:tabs>
              <w:tab w:val="left" w:pos="660"/>
              <w:tab w:val="right" w:leader="dot" w:pos="9062"/>
            </w:tabs>
            <w:ind w:left="660" w:hanging="660"/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F182AFF" w:rsidR="00E3224A" w:rsidRDefault="0084410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27DFB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84410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84410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268039D6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2D0384D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F8455F">
        <w:rPr>
          <w:rFonts w:ascii="Arial" w:hAnsi="Arial" w:cs="Arial"/>
        </w:rPr>
        <w:t>6</w:t>
      </w:r>
      <w:r w:rsidR="00F8455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6BFA328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bookmarkStart w:id="6" w:name="_Hlk134695120"/>
      <w:r w:rsidR="00F10372" w:rsidRPr="00F10372">
        <w:rPr>
          <w:rFonts w:ascii="Arial" w:hAnsi="Arial" w:cs="Arial"/>
        </w:rPr>
        <w:t>zlepšení přístupnosti a zajištění ochrany knihovních fondů</w:t>
      </w:r>
      <w:r w:rsidR="00F10372" w:rsidRPr="00F10372" w:rsidDel="00F10372">
        <w:rPr>
          <w:rFonts w:ascii="Arial" w:hAnsi="Arial" w:cs="Arial"/>
        </w:rPr>
        <w:t xml:space="preserve"> </w:t>
      </w:r>
      <w:bookmarkEnd w:id="6"/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D8C50A8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F10372" w:rsidRPr="00F10372">
        <w:rPr>
          <w:rFonts w:ascii="Arial" w:hAnsi="Arial" w:cs="Arial"/>
        </w:rPr>
        <w:t>zlepšení přístupnosti a zajištění ochrany knihovních fondů</w:t>
      </w:r>
      <w:r w:rsidR="00B03A83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5F53BE9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F10372" w:rsidRPr="00F10372">
        <w:rPr>
          <w:rFonts w:ascii="Arial" w:hAnsi="Arial" w:cs="Arial"/>
        </w:rPr>
        <w:t>zlepšení přístupnosti a zajištění ochrany knihovních fondů</w:t>
      </w:r>
      <w:r w:rsidR="00F10372" w:rsidRPr="00F10372" w:rsidDel="00F103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369D1893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F10372" w:rsidRPr="00F10372">
        <w:rPr>
          <w:rFonts w:ascii="Arial" w:hAnsi="Arial" w:cs="Arial"/>
        </w:rPr>
        <w:t>zlepšení přístupnosti a zajištění ochrany knihovních fondů</w:t>
      </w:r>
      <w:r w:rsidR="00F10372" w:rsidRPr="00F10372" w:rsidDel="00272CC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970F025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844107" w:rsidRPr="00F10372">
        <w:rPr>
          <w:rFonts w:ascii="Arial" w:hAnsi="Arial" w:cs="Arial"/>
        </w:rPr>
        <w:t>zlepšení přístupnosti a zajištění ochrany knihovních fondů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49AEB49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F10372" w:rsidRPr="00F10372">
        <w:rPr>
          <w:rFonts w:ascii="Arial" w:hAnsi="Arial" w:cs="Arial"/>
        </w:rPr>
        <w:t>zlepšení přístupnosti a zajištění ochrany knihovních fondů</w:t>
      </w:r>
      <w:r w:rsidR="008B3F94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43C4800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F10372" w:rsidRPr="00F10372">
        <w:rPr>
          <w:rFonts w:ascii="Arial" w:hAnsi="Arial" w:cs="Arial"/>
        </w:rPr>
        <w:t>zlepšení přístupnosti a zajištění ochrany knihovních fondů</w:t>
      </w:r>
      <w:bookmarkEnd w:id="15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lastRenderedPageBreak/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055AE" w14:textId="77777777" w:rsidR="005240E3" w:rsidRDefault="005240E3" w:rsidP="00634381">
      <w:pPr>
        <w:spacing w:after="0" w:line="240" w:lineRule="auto"/>
      </w:pPr>
      <w:r>
        <w:separator/>
      </w:r>
    </w:p>
  </w:endnote>
  <w:endnote w:type="continuationSeparator" w:id="0">
    <w:p w14:paraId="0B939DB0" w14:textId="77777777" w:rsidR="005240E3" w:rsidRDefault="005240E3" w:rsidP="00634381">
      <w:pPr>
        <w:spacing w:after="0" w:line="240" w:lineRule="auto"/>
      </w:pPr>
      <w:r>
        <w:continuationSeparator/>
      </w:r>
    </w:p>
  </w:endnote>
  <w:endnote w:type="continuationNotice" w:id="1">
    <w:p w14:paraId="79B0A306" w14:textId="77777777" w:rsidR="005240E3" w:rsidRDefault="005240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37345" w14:textId="77777777" w:rsidR="005240E3" w:rsidRDefault="005240E3" w:rsidP="00634381">
      <w:pPr>
        <w:spacing w:after="0" w:line="240" w:lineRule="auto"/>
      </w:pPr>
      <w:r>
        <w:separator/>
      </w:r>
    </w:p>
  </w:footnote>
  <w:footnote w:type="continuationSeparator" w:id="0">
    <w:p w14:paraId="18815651" w14:textId="77777777" w:rsidR="005240E3" w:rsidRDefault="005240E3" w:rsidP="00634381">
      <w:pPr>
        <w:spacing w:after="0" w:line="240" w:lineRule="auto"/>
      </w:pPr>
      <w:r>
        <w:continuationSeparator/>
      </w:r>
    </w:p>
  </w:footnote>
  <w:footnote w:type="continuationNotice" w:id="1">
    <w:p w14:paraId="0950F915" w14:textId="77777777" w:rsidR="005240E3" w:rsidRDefault="005240E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B4220" w14:textId="5B3F3132" w:rsidR="00A02F25" w:rsidRDefault="00A02F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224F42FA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7F63440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40287" w14:textId="230ECBED" w:rsidR="00A02F25" w:rsidRDefault="00A02F2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9B20DBB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7401" w14:textId="55C9354E" w:rsidR="00A02F25" w:rsidRDefault="00A02F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4606D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1CC4"/>
    <w:rsid w:val="000A285E"/>
    <w:rsid w:val="000A2CF9"/>
    <w:rsid w:val="000A404C"/>
    <w:rsid w:val="000A45AD"/>
    <w:rsid w:val="000A5D85"/>
    <w:rsid w:val="000A6053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C18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361E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4DBD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D65FE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40E3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5E14"/>
    <w:rsid w:val="00646B99"/>
    <w:rsid w:val="00647234"/>
    <w:rsid w:val="00651B34"/>
    <w:rsid w:val="006537E0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107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3F94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791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2F25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5AD1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76D9E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07BC4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27DFB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0372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752D0"/>
    <w:rsid w:val="00F80120"/>
    <w:rsid w:val="00F827B6"/>
    <w:rsid w:val="00F82BDD"/>
    <w:rsid w:val="00F8455F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1807</Words>
  <Characters>10667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18</cp:revision>
  <cp:lastPrinted>2023-02-21T14:27:00Z</cp:lastPrinted>
  <dcterms:created xsi:type="dcterms:W3CDTF">2023-05-18T11:38:00Z</dcterms:created>
  <dcterms:modified xsi:type="dcterms:W3CDTF">2023-06-26T09:10:00Z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